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560"/>
        <w:gridCol w:w="341"/>
        <w:gridCol w:w="2777"/>
        <w:gridCol w:w="311"/>
        <w:gridCol w:w="3658"/>
        <w:gridCol w:w="284"/>
        <w:gridCol w:w="248"/>
      </w:tblGrid>
      <w:tr w:rsidR="003E23FD" w:rsidRPr="003E23FD" w:rsidTr="003E23FD">
        <w:trPr>
          <w:trHeight w:val="255"/>
        </w:trPr>
        <w:tc>
          <w:tcPr>
            <w:tcW w:w="1701"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Level</w:t>
            </w:r>
          </w:p>
        </w:tc>
        <w:tc>
          <w:tcPr>
            <w:tcW w:w="1560"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341" w:type="dxa"/>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2777"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Kabupaten Poso</w:t>
            </w:r>
          </w:p>
        </w:tc>
        <w:tc>
          <w:tcPr>
            <w:tcW w:w="311"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3658"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284" w:type="dxa"/>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261" w:type="dxa"/>
            <w:gridSpan w:val="2"/>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Komponen</w:t>
            </w:r>
          </w:p>
        </w:tc>
        <w:tc>
          <w:tcPr>
            <w:tcW w:w="341" w:type="dxa"/>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3088" w:type="dxa"/>
            <w:gridSpan w:val="2"/>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E. Kapasitas masyarakat Bisnis</w:t>
            </w:r>
          </w:p>
        </w:tc>
        <w:tc>
          <w:tcPr>
            <w:tcW w:w="3658"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284" w:type="dxa"/>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1701"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60"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341" w:type="dxa"/>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2777"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311"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3658"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284" w:type="dxa"/>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248"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602" w:type="dxa"/>
            <w:gridSpan w:val="3"/>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Isu dalam PGA REDD+</w:t>
            </w:r>
          </w:p>
        </w:tc>
        <w:tc>
          <w:tcPr>
            <w:tcW w:w="7030" w:type="dxa"/>
            <w:gridSpan w:val="4"/>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600"/>
        </w:trPr>
        <w:tc>
          <w:tcPr>
            <w:tcW w:w="3261" w:type="dxa"/>
            <w:gridSpan w:val="2"/>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341"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278" w:type="dxa"/>
            <w:gridSpan w:val="5"/>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3E23FD" w:rsidRPr="003E23FD" w:rsidTr="003E23FD">
        <w:trPr>
          <w:trHeight w:val="255"/>
        </w:trPr>
        <w:tc>
          <w:tcPr>
            <w:tcW w:w="3261" w:type="dxa"/>
            <w:gridSpan w:val="2"/>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341" w:type="dxa"/>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278" w:type="dxa"/>
            <w:gridSpan w:val="5"/>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3E23FD">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ook w:val="04A0"/>
      </w:tblPr>
      <w:tblGrid>
        <w:gridCol w:w="749"/>
        <w:gridCol w:w="1442"/>
        <w:gridCol w:w="1543"/>
        <w:gridCol w:w="1124"/>
        <w:gridCol w:w="1835"/>
        <w:gridCol w:w="1116"/>
        <w:gridCol w:w="1722"/>
        <w:gridCol w:w="1354"/>
      </w:tblGrid>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2040"/>
        </w:trPr>
        <w:tc>
          <w:tcPr>
            <w:tcW w:w="730"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EIa1</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Kehutanan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pernah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Pelaku usaha itu kadang diundang dalam pertemuan atau kegiatan-kegiatan terkait perencanaan kehutanan dan juga perizinan . Mereka minimal memberikan masukan terkait kendala yang mereka hadapi selama ini dan bahkan juga meminta bantuan seperti bibit </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1785"/>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PU</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pernah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Ada juga pengusaha itu yang mendukung kegiatan-kegiatan perencanaan hutan seperti Di pamona timur mereka mendukung RT RW minimal seperti itu waktu kita sosialisasi dan FGD disana  demikian juga di Napu.</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765"/>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Biasanya diundang untuk menanam kayu untuk industri bukan perkebunan</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r>
      <w:tr w:rsidR="003E23FD" w:rsidRPr="003E23FD" w:rsidTr="003E23FD">
        <w:trPr>
          <w:trHeight w:val="1275"/>
        </w:trPr>
        <w:tc>
          <w:tcPr>
            <w:tcW w:w="730"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EIa2</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Materi yang disampaikan dalam pertemuan pembahasan perencanaan kehutanan</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Kehutanan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Dinas Kehutaan telah memiliki peta detail pengelolaan hutan hasil kerja sama dengan untad sehingga secara materi sudah cukup tinggal di dewan dan </w:t>
            </w:r>
            <w:r w:rsidRPr="003E23FD">
              <w:rPr>
                <w:rFonts w:ascii="Times New Roman" w:eastAsia="Times New Roman" w:hAnsi="Times New Roman" w:cs="Times New Roman"/>
                <w:color w:val="000000"/>
                <w:sz w:val="20"/>
                <w:szCs w:val="20"/>
                <w:lang w:eastAsia="id-ID"/>
              </w:rPr>
              <w:lastRenderedPageBreak/>
              <w:t>masyarakat.</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4</w:t>
            </w:r>
          </w:p>
        </w:tc>
      </w:tr>
      <w:tr w:rsidR="003E23FD" w:rsidRPr="003E23FD" w:rsidTr="003E23FD">
        <w:trPr>
          <w:trHeight w:val="1275"/>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PU</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Perencanan kehutanan itukah jadi wilayahnya dinas terkait sebab perencanaan daerah itu kerjanya kolektif dan bukan PU saja tetapi selama ini sudah baik</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r>
      <w:tr w:rsidR="003E23FD" w:rsidRPr="003E23FD" w:rsidTr="003E23FD">
        <w:trPr>
          <w:trHeight w:val="1249"/>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Banyak materi itu tidak Intens berkesinambungan biasanya tentang Hukum / Pelanggaran-pelanggaran</w:t>
            </w:r>
          </w:p>
        </w:tc>
        <w:tc>
          <w:tcPr>
            <w:tcW w:w="1357" w:type="dxa"/>
            <w:tcBorders>
              <w:top w:val="nil"/>
              <w:left w:val="nil"/>
              <w:bottom w:val="single" w:sz="4" w:space="0" w:color="auto"/>
              <w:right w:val="single" w:sz="4" w:space="0" w:color="auto"/>
            </w:tcBorders>
            <w:shd w:val="clear" w:color="000000" w:fill="FFFFFF"/>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600"/>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3E23FD">
              <w:rPr>
                <w:rFonts w:ascii="Times New Roman" w:eastAsia="Times New Roman" w:hAnsi="Times New Roman" w:cs="Times New Roman"/>
                <w:b/>
                <w:bCs/>
                <w:color w:val="000000"/>
                <w:sz w:val="20"/>
                <w:szCs w:val="20"/>
                <w:lang w:eastAsia="id-ID"/>
              </w:rPr>
              <w:br/>
              <w:t xml:space="preserve">       perencanaan wilayah dan kehutanan</w:t>
            </w:r>
            <w:r w:rsidRPr="003E23FD">
              <w:rPr>
                <w:rFonts w:ascii="Times New Roman" w:eastAsia="Times New Roman" w:hAnsi="Times New Roman" w:cs="Times New Roman"/>
                <w:b/>
                <w:bCs/>
                <w:color w:val="000000"/>
                <w:sz w:val="20"/>
                <w:szCs w:val="20"/>
                <w:lang w:eastAsia="id-ID"/>
              </w:rPr>
              <w:br/>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Asosiasi Pengusaha (Hutan, Sawit, Tambang)</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1785"/>
        </w:trPr>
        <w:tc>
          <w:tcPr>
            <w:tcW w:w="730" w:type="dxa"/>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EIb1</w:t>
            </w:r>
          </w:p>
        </w:tc>
        <w:tc>
          <w:tcPr>
            <w:tcW w:w="1446" w:type="dxa"/>
            <w:tcBorders>
              <w:top w:val="nil"/>
              <w:left w:val="nil"/>
              <w:bottom w:val="nil"/>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dasar pengusaha untuk melihat status wilayah sudah diberikan di kehutanan</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Ada  jenjangnya APL hutan produksi, produksi terbatas hukngga konservasi</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5</w:t>
            </w:r>
          </w:p>
        </w:tc>
      </w:tr>
      <w:tr w:rsidR="003E23FD" w:rsidRPr="003E23FD" w:rsidTr="003E23FD">
        <w:trPr>
          <w:trHeight w:val="1275"/>
        </w:trPr>
        <w:tc>
          <w:tcPr>
            <w:tcW w:w="730" w:type="dxa"/>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EIb2</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semua pengusaha tahu</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Sedikit sekali yang diketahui. Sama sekali tidak pernah dilibatkan</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330"/>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lastRenderedPageBreak/>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Asosiasi Pengusaha (Hutan, Sawit, Tambang)</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EIc1</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Prosedur penyampaian hasil atau proses partisipasi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Prosedur penyampaian hasil atau proses partisipasi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Karena itu sudah jadi penegasan maka itu sudah standar</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5</w:t>
            </w:r>
          </w:p>
        </w:tc>
      </w:tr>
      <w:tr w:rsidR="003E23FD" w:rsidRPr="003E23FD" w:rsidTr="003E23FD">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EIc2</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Isi laporan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Setiap produksikan harus laporan yang ditembuskan k bnyak pihak</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5</w:t>
            </w:r>
          </w:p>
        </w:tc>
      </w:tr>
      <w:tr w:rsidR="003E23FD" w:rsidRPr="003E23FD" w:rsidTr="003E23FD">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EIc3</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Forum penyampaian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Forum penyampaian hasil atau proses partisipasi sudah memada 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hanya di asosiasi profesi di palu untuktingkat propinsi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Masing-masing melaporkan</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EIc4</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Penetapan peserta forum penyampaian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Ditembuskan saja secara administratif</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EIc5</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Mekanisme penyampaian masukan dari peserta forum</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Mekanisme penyampaian masukan dari peserta forum sudah memadai ?</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forum</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723" w:type="dxa"/>
            <w:gridSpan w:val="3"/>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II. Pengaturan Hak </w:t>
            </w: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31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 Dokumen peraturan perusahaan yang mengatur pelaksanaan PADIATAPA</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noWrap/>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Pelaksana PADIATAPA(Perusahaan: Hutan, Sawit, Tambang; LSM)</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2040"/>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EIIa1</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Mekanisme pengumpulan data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Mekanisme pengumpulan data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Kan ada UU kebebasan informasi dimana setiap SKPD harus punya instansi yaitu ruang untuk berbagai informasi nah selama ini tidak ada. Kesulitannya selama ini menyebabkan mekanisme itu tidak ada kecuali </w:t>
            </w:r>
            <w:r w:rsidRPr="003E23FD">
              <w:rPr>
                <w:rFonts w:ascii="Times New Roman" w:eastAsia="Times New Roman" w:hAnsi="Times New Roman" w:cs="Times New Roman"/>
                <w:color w:val="000000"/>
                <w:sz w:val="20"/>
                <w:szCs w:val="20"/>
                <w:lang w:eastAsia="id-ID"/>
              </w:rPr>
              <w:lastRenderedPageBreak/>
              <w:t>mekanisme advokasi data kepada masyarakat langsung</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2</w:t>
            </w:r>
          </w:p>
        </w:tc>
      </w:tr>
      <w:tr w:rsidR="003E23FD" w:rsidRPr="003E23FD" w:rsidTr="003E23FD">
        <w:trPr>
          <w:trHeight w:val="2550"/>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Dokumen tidak diperoleh</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Mekanisme itu ada tetapi yang dilakukan perusahaan sendiri untuk kelengkapan persyaratan pengelolaan dan pendirian usaha. Seperti untuk  Tanda Daftar Perusahaan perorangan .Surat Izin Kepala Desa. Izin Hak Usaha dan yang tidak. TDI. Izin Penenbangan Hutan Rakyat. Tetapi yang dari pemerintah belum ada seperti itu.</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1275"/>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EIIa2</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Kelengkapan materi untuk permintaan persetujuan</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Kelengkapan materi untuk permintaan persetujuan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Selama ini mungkin ada tetapi karena tidak terbuka yang tahu pengusaha dan pemerintah saja adapaun masyarakat yang dimintakan tentujnya yang setuju saja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765"/>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Dokumen tidak diperoleh</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Sudah ada Materi dan Aturan yang berlaku untuk itu di kehutanan. Ttap Lebih baik jika dimudahkan </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r>
      <w:tr w:rsidR="003E23FD" w:rsidRPr="003E23FD" w:rsidTr="003E23FD">
        <w:trPr>
          <w:trHeight w:val="1530"/>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EIIa3</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Mekanisme penetapan fasilitator </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Mekanisme penetapan fasilitator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Yang banyak itu dilakukan baik oleh pemerintah aja atau masyarakat saja Kasus di pewura itu yang jadi pihak ketiga adalah komnas HAM yang menjadi mediator antara masyarakat dan perusahaan.</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510"/>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Tidak ada itu fasilitator </w:t>
            </w:r>
            <w:r w:rsidRPr="003E23FD">
              <w:rPr>
                <w:rFonts w:ascii="Times New Roman" w:eastAsia="Times New Roman" w:hAnsi="Times New Roman" w:cs="Times New Roman"/>
                <w:color w:val="000000"/>
                <w:sz w:val="20"/>
                <w:szCs w:val="20"/>
                <w:lang w:eastAsia="id-ID"/>
              </w:rPr>
              <w:lastRenderedPageBreak/>
              <w:t>semuanya perusahaan yang lakukan sendiri</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1</w:t>
            </w:r>
          </w:p>
        </w:tc>
      </w:tr>
      <w:tr w:rsidR="003E23FD" w:rsidRPr="003E23FD" w:rsidTr="003E23FD">
        <w:trPr>
          <w:trHeight w:val="1785"/>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EIIa4</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Proses permintaan persetujuan dari masyarakat</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Proses permintaan persetu-juan dari masyarakat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Masyarakat itu hanya pasif saja jika didatangi mereka baru terbuka, hanya hambatan fasilitasi selama ini karena yang berhubungan dilapangan itu yang tidak bisa memberikan solusi langsung bahkan kadang tidak ada yang datang</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r>
      <w:tr w:rsidR="003E23FD" w:rsidRPr="003E23FD" w:rsidTr="003E23FD">
        <w:trPr>
          <w:trHeight w:val="1275"/>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Dokumen tidak diperoleh</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Harus ada persetujuan untuk penerbitan Ho dll itu. Tanpa ada persetujuan tidak akan mungkin terbit. Dan itu pengusaha yang urus sendiri ke masyarakat.</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5</w:t>
            </w:r>
          </w:p>
        </w:tc>
      </w:tr>
      <w:tr w:rsidR="003E23FD" w:rsidRPr="003E23FD" w:rsidTr="003E23FD">
        <w:trPr>
          <w:trHeight w:val="510"/>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EIIa5</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Mekanisme pengaduan dalam kerangka PADIATAPA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Mekanisme pengaduan dalam kerangka PADIATAPA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 yang nampak terbuka tentang itu</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1020"/>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Ada dibentuk forum yang mana pengusaha bersentuhan langsung dengan masyarakat untuk meminta persetujuan</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5</w:t>
            </w:r>
          </w:p>
        </w:tc>
      </w:tr>
      <w:tr w:rsidR="003E23FD" w:rsidRPr="003E23FD" w:rsidTr="003E23FD">
        <w:trPr>
          <w:trHeight w:val="1785"/>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EIIa6</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Monitoring pelaksanaan permintaan persetujuan</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Monitoring pelaksanaan permintaan persetujuan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Secara mekanisme sangat baik, tetapi hanya tidak transparan sebab meskipun setalah diberikan persetujuan untuk ditindak lanjuti maka dilakukan pengecekan dan penerbitan izin tetapi sekali lagi itu hanya yang dilakukan pemerintah</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r>
      <w:tr w:rsidR="003E23FD" w:rsidRPr="003E23FD" w:rsidTr="003E23FD">
        <w:trPr>
          <w:trHeight w:val="255"/>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Dokumen tidak diperoleh</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1785"/>
        </w:trPr>
        <w:tc>
          <w:tcPr>
            <w:tcW w:w="730"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EIIa7</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Mekanisme tindak lanjut hasil PADIATAPA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Mekanisme tindak lanjut hasil PADIATAPA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Umumnya hasil yang dicapai pada mekanisme pengecekan disampaikan kepada masyarakat untuk kembali ditidaklanjuti btetapi yang permasalahan selanjutnya tidak ada pengecekan setalah proyek berjalan apakh sesuai atau tidak</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r>
      <w:tr w:rsidR="003E23FD" w:rsidRPr="003E23FD" w:rsidTr="003E23FD">
        <w:trPr>
          <w:trHeight w:val="765"/>
        </w:trPr>
        <w:tc>
          <w:tcPr>
            <w:tcW w:w="730"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Jika isi aturan akan ditndaklnjuti dengan pengecekan ke lapangan oleh pejabat terkait</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r>
      <w:tr w:rsidR="003E23FD" w:rsidRPr="003E23FD" w:rsidTr="003E23FD">
        <w:trPr>
          <w:trHeight w:val="31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Laporan keuangan Perusahaan (Hutan, Sawit, Tambang) </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172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EIIb1</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000000" w:fill="FFFFFF"/>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 karen pengusaha merasa itu rahasia perusahaan dan tidak bersifat tetap</w:t>
            </w:r>
          </w:p>
        </w:tc>
        <w:tc>
          <w:tcPr>
            <w:tcW w:w="1119" w:type="dxa"/>
            <w:tcBorders>
              <w:top w:val="nil"/>
              <w:left w:val="nil"/>
              <w:bottom w:val="single" w:sz="4" w:space="0" w:color="auto"/>
              <w:right w:val="single" w:sz="4" w:space="0" w:color="auto"/>
            </w:tcBorders>
            <w:shd w:val="clear" w:color="000000" w:fill="FFFFFF"/>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727"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jumlah dana yang pasti tergantung kondisi tiap-tiap pengusaha</w:t>
            </w:r>
          </w:p>
        </w:tc>
        <w:tc>
          <w:tcPr>
            <w:tcW w:w="1357" w:type="dxa"/>
            <w:tcBorders>
              <w:top w:val="nil"/>
              <w:left w:val="nil"/>
              <w:bottom w:val="single" w:sz="4" w:space="0" w:color="auto"/>
              <w:right w:val="single" w:sz="4" w:space="0" w:color="auto"/>
            </w:tcBorders>
            <w:shd w:val="clear" w:color="000000" w:fill="000000"/>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723" w:type="dxa"/>
            <w:gridSpan w:val="3"/>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III. Pengorganisasian Hutan</w:t>
            </w: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 Mekanisme penetapan perwakilan bisnis dalam lembaga multipihak</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Pengurus-isu keterwakilan gender </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EIIIa1</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Tergantung siapa jadi pimpinan</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127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EIIIa2</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Mekanisme pemilihan wakil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mekanisme</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Tidak ada asosiasi pengusaha bid kehutanan di poso, yang bersangkutan baru sekali mengikuti </w:t>
            </w:r>
            <w:r w:rsidRPr="003E23FD">
              <w:rPr>
                <w:rFonts w:ascii="Times New Roman" w:eastAsia="Times New Roman" w:hAnsi="Times New Roman" w:cs="Times New Roman"/>
                <w:color w:val="000000"/>
                <w:sz w:val="20"/>
                <w:szCs w:val="20"/>
                <w:lang w:eastAsia="id-ID"/>
              </w:rPr>
              <w:lastRenderedPageBreak/>
              <w:t>sosialisasi pengusaha somel di provinsi</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1</w:t>
            </w:r>
          </w:p>
        </w:tc>
      </w:tr>
      <w:tr w:rsidR="003E23FD" w:rsidRPr="003E23FD" w:rsidTr="003E23FD">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EIIIa3</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Forum pemilihan wakil  dalam lembaga multipihak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forum</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Tidak ada, sendiri-sendiri saja</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723" w:type="dxa"/>
            <w:gridSpan w:val="3"/>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IV. Pengelolaan Hutan</w:t>
            </w: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Lembaga Ekolabel Indonesia</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EIVa1</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Jumlah perusahaan yang menja-lankan prinsip-prinsip SFM</w:t>
            </w:r>
          </w:p>
        </w:tc>
        <w:tc>
          <w:tcPr>
            <w:tcW w:w="1547"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FF0000"/>
                <w:sz w:val="20"/>
                <w:szCs w:val="20"/>
                <w:lang w:eastAsia="id-ID"/>
              </w:rPr>
            </w:pPr>
            <w:r w:rsidRPr="003E23FD">
              <w:rPr>
                <w:rFonts w:ascii="Times New Roman" w:eastAsia="Times New Roman" w:hAnsi="Times New Roman" w:cs="Times New Roman"/>
                <w:color w:val="FF0000"/>
                <w:sz w:val="20"/>
                <w:szCs w:val="20"/>
                <w:lang w:eastAsia="id-ID"/>
              </w:rPr>
              <w:t> </w:t>
            </w:r>
          </w:p>
        </w:tc>
        <w:tc>
          <w:tcPr>
            <w:tcW w:w="1357"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FF0000"/>
                <w:sz w:val="20"/>
                <w:szCs w:val="20"/>
                <w:lang w:eastAsia="id-ID"/>
              </w:rPr>
            </w:pPr>
            <w:r w:rsidRPr="003E23FD">
              <w:rPr>
                <w:rFonts w:ascii="Times New Roman" w:eastAsia="Times New Roman" w:hAnsi="Times New Roman" w:cs="Times New Roman"/>
                <w:color w:val="FF0000"/>
                <w:sz w:val="20"/>
                <w:szCs w:val="20"/>
                <w:lang w:eastAsia="id-ID"/>
              </w:rPr>
              <w:t> </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723" w:type="dxa"/>
            <w:gridSpan w:val="3"/>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V. Pengendalian dan Penegakan Hukum</w:t>
            </w: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300"/>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4078" w:type="dxa"/>
            <w:gridSpan w:val="3"/>
            <w:tcBorders>
              <w:top w:val="nil"/>
              <w:left w:val="nil"/>
              <w:bottom w:val="nil"/>
              <w:right w:val="nil"/>
            </w:tcBorders>
            <w:shd w:val="clear" w:color="auto" w:fill="auto"/>
            <w:noWrap/>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Pelaksana PADIATAPA(Perusahaan: Hutan, Sawit, Tambang; LSM)</w:t>
            </w:r>
          </w:p>
        </w:tc>
        <w:tc>
          <w:tcPr>
            <w:tcW w:w="172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EVa1</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Aturan Tertulis</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Aturan dalam bentuk Tertulis?</w:t>
            </w:r>
          </w:p>
        </w:tc>
        <w:tc>
          <w:tcPr>
            <w:tcW w:w="1119"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Ada Laporan Mutasi Kayu setiap Bulan masukan ke BSPH itu tertulisdan ditembuskan ke kab. poso</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r>
      <w:tr w:rsidR="003E23FD" w:rsidRPr="003E23FD" w:rsidTr="003E23FD">
        <w:trPr>
          <w:trHeight w:val="127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EVa2</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19"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ada di perda 25 dan 35 2008</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Ada faktur untuk kayu yang akan diperuntukkan untuk Industri dan Untuk konsumen biasa mengeluarkan surat nota peruahaan. Ada staf yang Ikut pelatihan penguji Faktur (Faro)</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r>
      <w:tr w:rsidR="003E23FD" w:rsidRPr="003E23FD" w:rsidTr="003E23FD">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EVa3</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Bentuk sanksi terhadap staf yang melanggar aturan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Apa Bentuk sanksi terhadap staf yang melanggar aturan dalam pelaksanaan kegiatan </w:t>
            </w:r>
            <w:r w:rsidRPr="003E23FD">
              <w:rPr>
                <w:rFonts w:ascii="Times New Roman" w:eastAsia="Times New Roman" w:hAnsi="Times New Roman" w:cs="Times New Roman"/>
                <w:color w:val="000000"/>
                <w:sz w:val="20"/>
                <w:szCs w:val="20"/>
                <w:lang w:eastAsia="id-ID"/>
              </w:rPr>
              <w:lastRenderedPageBreak/>
              <w:t>pemanfaatan hutan?</w:t>
            </w:r>
          </w:p>
        </w:tc>
        <w:tc>
          <w:tcPr>
            <w:tcW w:w="1119"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lastRenderedPageBreak/>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ada di perda 25 dan 35 2008</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4</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 persiapan yntuk pelanggaran itu</w:t>
            </w:r>
          </w:p>
        </w:tc>
        <w:tc>
          <w:tcPr>
            <w:tcW w:w="1357" w:type="dxa"/>
            <w:tcBorders>
              <w:top w:val="nil"/>
              <w:left w:val="nil"/>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64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3E23FD">
              <w:rPr>
                <w:rFonts w:ascii="Times New Roman" w:eastAsia="Times New Roman" w:hAnsi="Times New Roman" w:cs="Times New Roman"/>
                <w:b/>
                <w:bCs/>
                <w:color w:val="000000"/>
                <w:sz w:val="20"/>
                <w:szCs w:val="20"/>
                <w:lang w:eastAsia="id-ID"/>
              </w:rPr>
              <w:br/>
              <w:t xml:space="preserve">  baik di lokasi assesmen </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Perusahaan (Biro Hukum)</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15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EVb1</w:t>
            </w:r>
          </w:p>
        </w:tc>
        <w:tc>
          <w:tcPr>
            <w:tcW w:w="1446"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4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 data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000000" w:fill="FFFFFF"/>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tahu persis, karena tidak ada data</w:t>
            </w:r>
          </w:p>
        </w:tc>
        <w:tc>
          <w:tcPr>
            <w:tcW w:w="1357" w:type="dxa"/>
            <w:tcBorders>
              <w:top w:val="nil"/>
              <w:left w:val="nil"/>
              <w:bottom w:val="single" w:sz="4" w:space="0" w:color="auto"/>
              <w:right w:val="single" w:sz="4" w:space="0" w:color="auto"/>
            </w:tcBorders>
            <w:shd w:val="clear" w:color="000000" w:fill="FFFFFF"/>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3723" w:type="dxa"/>
            <w:gridSpan w:val="3"/>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VI. Infrastruktur REDD+</w:t>
            </w: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4078" w:type="dxa"/>
            <w:gridSpan w:val="3"/>
            <w:tcBorders>
              <w:top w:val="nil"/>
              <w:left w:val="nil"/>
              <w:bottom w:val="nil"/>
              <w:right w:val="nil"/>
            </w:tcBorders>
            <w:shd w:val="clear" w:color="auto" w:fill="auto"/>
            <w:noWrap/>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Aturan yang dimiliki Satgas REDD+ dalam melibatkan para pihak</w:t>
            </w:r>
            <w:r w:rsidRPr="003E23FD">
              <w:rPr>
                <w:rFonts w:ascii="Times New Roman" w:eastAsia="Times New Roman" w:hAnsi="Times New Roman" w:cs="Times New Roman"/>
                <w:b/>
                <w:bCs/>
                <w:color w:val="000000"/>
                <w:sz w:val="20"/>
                <w:szCs w:val="20"/>
                <w:lang w:eastAsia="id-ID"/>
              </w:rPr>
              <w:br/>
            </w:r>
            <w:r w:rsidRPr="003E23FD">
              <w:rPr>
                <w:rFonts w:ascii="Times New Roman" w:eastAsia="Times New Roman" w:hAnsi="Times New Roman" w:cs="Times New Roman"/>
                <w:b/>
                <w:bCs/>
                <w:color w:val="000000"/>
                <w:sz w:val="20"/>
                <w:szCs w:val="20"/>
                <w:lang w:eastAsia="id-ID"/>
              </w:rPr>
              <w:br/>
            </w:r>
          </w:p>
        </w:tc>
        <w:tc>
          <w:tcPr>
            <w:tcW w:w="172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p>
        </w:tc>
      </w:tr>
      <w:tr w:rsidR="003E23FD" w:rsidRPr="003E23FD" w:rsidTr="003E23FD">
        <w:trPr>
          <w:trHeight w:val="510"/>
        </w:trPr>
        <w:tc>
          <w:tcPr>
            <w:tcW w:w="730" w:type="dxa"/>
            <w:tcBorders>
              <w:top w:val="single" w:sz="4" w:space="0" w:color="auto"/>
              <w:left w:val="single" w:sz="4" w:space="0" w:color="auto"/>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single" w:sz="4" w:space="0" w:color="auto"/>
              <w:left w:val="nil"/>
              <w:bottom w:val="nil"/>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255"/>
        </w:trPr>
        <w:tc>
          <w:tcPr>
            <w:tcW w:w="7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EVIa1</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Satgas REDD+</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 satgas REDD+</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single" w:sz="4" w:space="0" w:color="auto"/>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single" w:sz="4" w:space="0" w:color="auto"/>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Tidak ada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127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single" w:sz="4" w:space="0" w:color="auto"/>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single" w:sz="4" w:space="0" w:color="auto"/>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Sebelum terjun ke bisnis kayu sudah lebih dulu bergerak di kegiatan budi daya nantu. Kayu itu sudah sekitar 3000 – 6000an pohon yang tlah ditanam</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EVIa2</w:t>
            </w:r>
          </w:p>
        </w:tc>
        <w:tc>
          <w:tcPr>
            <w:tcW w:w="1446"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Aturan yang dimiliki Satgas REDD+ dalam melibatkan para pihak</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Satgas REDD+</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510"/>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Meskipun itu sudah ada tetap setiap pengusaha harus siap</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255"/>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Belum ada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r>
      <w:tr w:rsidR="003E23FD" w:rsidRPr="003E23FD" w:rsidTr="003E23FD">
        <w:trPr>
          <w:trHeight w:val="255"/>
        </w:trPr>
        <w:tc>
          <w:tcPr>
            <w:tcW w:w="73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c>
          <w:tcPr>
            <w:tcW w:w="1727" w:type="dxa"/>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35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b. Tingkat komitmen kalangan bisnis mendukung pelaksanaan REDD+</w:t>
            </w:r>
          </w:p>
        </w:tc>
      </w:tr>
      <w:tr w:rsidR="003E23FD" w:rsidRPr="003E23FD" w:rsidTr="003E23FD">
        <w:trPr>
          <w:trHeight w:val="255"/>
        </w:trPr>
        <w:tc>
          <w:tcPr>
            <w:tcW w:w="2176" w:type="dxa"/>
            <w:gridSpan w:val="2"/>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informasi</w:t>
            </w:r>
          </w:p>
        </w:tc>
        <w:tc>
          <w:tcPr>
            <w:tcW w:w="1547" w:type="dxa"/>
            <w:tcBorders>
              <w:top w:val="nil"/>
              <w:left w:val="nil"/>
              <w:bottom w:val="nil"/>
              <w:right w:val="nil"/>
            </w:tcBorders>
            <w:shd w:val="clear" w:color="auto" w:fill="auto"/>
            <w:noWrap/>
            <w:vAlign w:val="center"/>
            <w:hideMark/>
          </w:tcPr>
          <w:p w:rsidR="003E23FD" w:rsidRPr="003E23FD" w:rsidRDefault="003E23FD" w:rsidP="003E23FD">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noWrap/>
            <w:vAlign w:val="center"/>
            <w:hideMark/>
          </w:tcPr>
          <w:p w:rsidR="003E23FD" w:rsidRPr="003E23FD" w:rsidRDefault="003E23FD" w:rsidP="003E23FD">
            <w:pPr>
              <w:spacing w:after="240" w:line="240" w:lineRule="auto"/>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 Asosiasi Pengusaha, Perusahaan</w:t>
            </w:r>
          </w:p>
        </w:tc>
      </w:tr>
      <w:tr w:rsidR="003E23FD" w:rsidRPr="003E23FD" w:rsidTr="003E23FD">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Dokumen</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Ringkasan Wawancara</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b/>
                <w:bCs/>
                <w:color w:val="000000"/>
                <w:sz w:val="20"/>
                <w:szCs w:val="20"/>
                <w:lang w:eastAsia="id-ID"/>
              </w:rPr>
            </w:pPr>
            <w:r w:rsidRPr="003E23FD">
              <w:rPr>
                <w:rFonts w:ascii="Times New Roman" w:eastAsia="Times New Roman" w:hAnsi="Times New Roman" w:cs="Times New Roman"/>
                <w:b/>
                <w:bCs/>
                <w:color w:val="000000"/>
                <w:sz w:val="20"/>
                <w:szCs w:val="20"/>
                <w:lang w:eastAsia="id-ID"/>
              </w:rPr>
              <w:t>Kategori Data Wawancara</w:t>
            </w:r>
          </w:p>
        </w:tc>
      </w:tr>
      <w:tr w:rsidR="003E23FD" w:rsidRPr="003E23FD" w:rsidTr="003E23FD">
        <w:trPr>
          <w:trHeight w:val="765"/>
        </w:trPr>
        <w:tc>
          <w:tcPr>
            <w:tcW w:w="730"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EVIb1</w:t>
            </w:r>
          </w:p>
        </w:tc>
        <w:tc>
          <w:tcPr>
            <w:tcW w:w="1446"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 </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data tidak ada karena asosiasi masih berafiliasi dengan kota Palu</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right"/>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1</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Masih kurang, sehari hanya beberapa orang saja untuk berfikir tata ruang seperti ini</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r w:rsidR="003E23FD" w:rsidRPr="003E23FD" w:rsidTr="003E23FD">
        <w:trPr>
          <w:trHeight w:val="2040"/>
        </w:trPr>
        <w:tc>
          <w:tcPr>
            <w:tcW w:w="730"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pa ketut telah menanam bibit pohon nantu sebanyak 6000 pohon di tanahnya</w:t>
            </w:r>
          </w:p>
        </w:tc>
        <w:tc>
          <w:tcPr>
            <w:tcW w:w="1119" w:type="dxa"/>
            <w:tcBorders>
              <w:top w:val="nil"/>
              <w:left w:val="nil"/>
              <w:bottom w:val="single" w:sz="4" w:space="0" w:color="auto"/>
              <w:right w:val="single" w:sz="4" w:space="0" w:color="auto"/>
            </w:tcBorders>
            <w:shd w:val="clear" w:color="000000" w:fill="000000"/>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3</w:t>
            </w:r>
          </w:p>
        </w:tc>
        <w:tc>
          <w:tcPr>
            <w:tcW w:w="172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Di bawah Pohon itu terasa sangat nyaman dan untuk itu ditanam untuk menghasilkan. Strategi ini sangat luar biasa sehingga pengusaha juga ikut menanam dan mendorong masyarakat untuk menanam agar dapat keuntungan dari Proses tersebut Menanam kayu</w:t>
            </w:r>
          </w:p>
        </w:tc>
        <w:tc>
          <w:tcPr>
            <w:tcW w:w="1357" w:type="dxa"/>
            <w:tcBorders>
              <w:top w:val="nil"/>
              <w:left w:val="nil"/>
              <w:bottom w:val="single" w:sz="4" w:space="0" w:color="auto"/>
              <w:right w:val="single" w:sz="4" w:space="0" w:color="auto"/>
            </w:tcBorders>
            <w:shd w:val="clear" w:color="auto" w:fill="auto"/>
            <w:vAlign w:val="center"/>
            <w:hideMark/>
          </w:tcPr>
          <w:p w:rsidR="003E23FD" w:rsidRPr="003E23FD" w:rsidRDefault="003E23FD" w:rsidP="003E23FD">
            <w:pPr>
              <w:spacing w:after="0" w:line="240" w:lineRule="auto"/>
              <w:jc w:val="center"/>
              <w:rPr>
                <w:rFonts w:ascii="Times New Roman" w:eastAsia="Times New Roman" w:hAnsi="Times New Roman" w:cs="Times New Roman"/>
                <w:color w:val="000000"/>
                <w:sz w:val="20"/>
                <w:szCs w:val="20"/>
                <w:lang w:eastAsia="id-ID"/>
              </w:rPr>
            </w:pPr>
            <w:r w:rsidRPr="003E23FD">
              <w:rPr>
                <w:rFonts w:ascii="Times New Roman" w:eastAsia="Times New Roman" w:hAnsi="Times New Roman" w:cs="Times New Roman"/>
                <w:color w:val="000000"/>
                <w:sz w:val="20"/>
                <w:szCs w:val="20"/>
                <w:lang w:eastAsia="id-ID"/>
              </w:rPr>
              <w:t>2</w:t>
            </w:r>
          </w:p>
        </w:tc>
      </w:tr>
    </w:tbl>
    <w:p w:rsidR="003E23FD" w:rsidRDefault="003E23FD"/>
    <w:sectPr w:rsidR="003E23F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3E23FD"/>
    <w:rsid w:val="004165D1"/>
    <w:rsid w:val="004570C7"/>
    <w:rsid w:val="005D2D3D"/>
    <w:rsid w:val="006E5970"/>
    <w:rsid w:val="0092185B"/>
    <w:rsid w:val="009F3E98"/>
    <w:rsid w:val="00A91768"/>
    <w:rsid w:val="00B5050D"/>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164854196">
      <w:bodyDiv w:val="1"/>
      <w:marLeft w:val="0"/>
      <w:marRight w:val="0"/>
      <w:marTop w:val="0"/>
      <w:marBottom w:val="0"/>
      <w:divBdr>
        <w:top w:val="none" w:sz="0" w:space="0" w:color="auto"/>
        <w:left w:val="none" w:sz="0" w:space="0" w:color="auto"/>
        <w:bottom w:val="none" w:sz="0" w:space="0" w:color="auto"/>
        <w:right w:val="none" w:sz="0" w:space="0" w:color="auto"/>
      </w:divBdr>
    </w:div>
    <w:div w:id="193948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2148</Words>
  <Characters>12249</Characters>
  <Application>Microsoft Office Word</Application>
  <DocSecurity>0</DocSecurity>
  <Lines>102</Lines>
  <Paragraphs>28</Paragraphs>
  <ScaleCrop>false</ScaleCrop>
  <Company/>
  <LinksUpToDate>false</LinksUpToDate>
  <CharactersWithSpaces>14369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2012-10-16T07:42:00Z</dcterms:modified>
</cp:coreProperties>
</file>